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3D" w:rsidRPr="002F5D3D" w:rsidRDefault="002F5D3D" w:rsidP="002F5D3D">
      <w:pPr>
        <w:spacing w:after="0"/>
        <w:jc w:val="center"/>
        <w:rPr>
          <w:rFonts w:ascii="Times New Roman" w:eastAsia="Calibri" w:hAnsi="Times New Roman" w:cs="Times New Roman"/>
          <w:b/>
          <w:lang w:bidi="en-US"/>
        </w:rPr>
      </w:pPr>
      <w:proofErr w:type="spellStart"/>
      <w:r w:rsidRPr="002F5D3D">
        <w:rPr>
          <w:rFonts w:ascii="Times New Roman" w:eastAsia="Calibri" w:hAnsi="Times New Roman" w:cs="Times New Roman"/>
          <w:b/>
          <w:lang w:bidi="en-US"/>
        </w:rPr>
        <w:t>Инструкционно</w:t>
      </w:r>
      <w:proofErr w:type="spellEnd"/>
      <w:r w:rsidRPr="002F5D3D">
        <w:rPr>
          <w:rFonts w:ascii="Times New Roman" w:eastAsia="Calibri" w:hAnsi="Times New Roman" w:cs="Times New Roman"/>
          <w:b/>
          <w:lang w:bidi="en-US"/>
        </w:rPr>
        <w:t>-технологическая карта</w:t>
      </w:r>
    </w:p>
    <w:p w:rsidR="002F5D3D" w:rsidRPr="002F5D3D" w:rsidRDefault="002F5D3D" w:rsidP="002F5D3D">
      <w:pPr>
        <w:spacing w:after="0"/>
        <w:jc w:val="center"/>
        <w:rPr>
          <w:rFonts w:ascii="Times New Roman" w:eastAsia="Calibri" w:hAnsi="Times New Roman" w:cs="Times New Roman"/>
          <w:lang w:bidi="en-US"/>
        </w:rPr>
      </w:pPr>
      <w:r w:rsidRPr="002F5D3D">
        <w:rPr>
          <w:rFonts w:ascii="Times New Roman" w:eastAsia="Calibri" w:hAnsi="Times New Roman" w:cs="Times New Roman"/>
          <w:lang w:bidi="en-US"/>
        </w:rPr>
        <w:t>практического занятия</w:t>
      </w:r>
      <w:r>
        <w:rPr>
          <w:rFonts w:ascii="Times New Roman" w:eastAsia="Calibri" w:hAnsi="Times New Roman" w:cs="Times New Roman"/>
          <w:lang w:bidi="en-US"/>
        </w:rPr>
        <w:t xml:space="preserve"> № 22/</w:t>
      </w:r>
      <w:bookmarkStart w:id="0" w:name="_GoBack"/>
      <w:bookmarkEnd w:id="0"/>
      <w:r>
        <w:rPr>
          <w:rFonts w:ascii="Times New Roman" w:eastAsia="Calibri" w:hAnsi="Times New Roman" w:cs="Times New Roman"/>
          <w:lang w:bidi="en-US"/>
        </w:rPr>
        <w:t>4</w:t>
      </w:r>
    </w:p>
    <w:p w:rsidR="002F5D3D" w:rsidRPr="002F5D3D" w:rsidRDefault="002F5D3D" w:rsidP="002F5D3D">
      <w:pPr>
        <w:spacing w:after="0"/>
        <w:jc w:val="center"/>
        <w:rPr>
          <w:rFonts w:ascii="Times New Roman" w:eastAsia="Calibri" w:hAnsi="Times New Roman" w:cs="Times New Roman"/>
          <w:b/>
          <w:lang w:bidi="en-US"/>
        </w:rPr>
      </w:pPr>
      <w:r w:rsidRPr="002F5D3D">
        <w:rPr>
          <w:rFonts w:ascii="Times New Roman" w:eastAsia="Calibri" w:hAnsi="Times New Roman" w:cs="Times New Roman"/>
          <w:b/>
          <w:lang w:bidi="en-US"/>
        </w:rPr>
        <w:t xml:space="preserve">Специальность: </w:t>
      </w:r>
      <w:r w:rsidRPr="002F5D3D">
        <w:rPr>
          <w:rFonts w:ascii="Times New Roman" w:eastAsia="Calibri" w:hAnsi="Times New Roman" w:cs="Times New Roman"/>
          <w:lang w:bidi="en-US"/>
        </w:rPr>
        <w:t>36.02.01. «Ветеринария»</w:t>
      </w:r>
    </w:p>
    <w:p w:rsidR="002F5D3D" w:rsidRPr="002F5D3D" w:rsidRDefault="002F5D3D" w:rsidP="002F5D3D">
      <w:pPr>
        <w:spacing w:after="0"/>
        <w:jc w:val="center"/>
        <w:rPr>
          <w:rFonts w:ascii="Times New Roman" w:eastAsia="Calibri" w:hAnsi="Times New Roman" w:cs="Times New Roman"/>
          <w:lang w:bidi="en-US"/>
        </w:rPr>
      </w:pPr>
      <w:r w:rsidRPr="002F5D3D">
        <w:rPr>
          <w:rFonts w:ascii="Times New Roman" w:eastAsia="Calibri" w:hAnsi="Times New Roman" w:cs="Times New Roman"/>
          <w:b/>
          <w:lang w:bidi="en-US"/>
        </w:rPr>
        <w:t>УП. 01</w:t>
      </w:r>
    </w:p>
    <w:p w:rsidR="002F5D3D" w:rsidRDefault="002F5D3D" w:rsidP="002F5D3D">
      <w:pPr>
        <w:spacing w:after="16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2F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23A">
        <w:rPr>
          <w:rFonts w:ascii="Times New Roman" w:hAnsi="Times New Roman" w:cs="Times New Roman"/>
          <w:sz w:val="24"/>
          <w:szCs w:val="24"/>
        </w:rPr>
        <w:t xml:space="preserve">Участие в выполнение профилактических мероприятий: </w:t>
      </w:r>
      <w:r w:rsidRPr="00F8523A">
        <w:rPr>
          <w:rFonts w:ascii="Times New Roman" w:hAnsi="Times New Roman" w:cs="Times New Roman"/>
          <w:iCs/>
          <w:sz w:val="24"/>
          <w:szCs w:val="24"/>
        </w:rPr>
        <w:t xml:space="preserve">аллергическая диагностика туберкулеза у свиней. </w:t>
      </w:r>
    </w:p>
    <w:p w:rsidR="002F5D3D" w:rsidRPr="002F5D3D" w:rsidRDefault="002F5D3D" w:rsidP="002F5D3D">
      <w:pPr>
        <w:spacing w:after="160" w:line="252" w:lineRule="auto"/>
        <w:jc w:val="both"/>
        <w:rPr>
          <w:rFonts w:ascii="Calibri" w:eastAsia="Calibri" w:hAnsi="Calibri" w:cs="Times New Roman"/>
        </w:rPr>
      </w:pPr>
      <w:r w:rsidRPr="002F5D3D">
        <w:rPr>
          <w:rFonts w:ascii="Times New Roman" w:eastAsia="Calibri" w:hAnsi="Times New Roman" w:cs="Times New Roman"/>
          <w:b/>
          <w:lang w:bidi="en-US"/>
        </w:rPr>
        <w:t>Цель:</w:t>
      </w:r>
      <w:r w:rsidRPr="002F5D3D">
        <w:rPr>
          <w:rFonts w:ascii="Times New Roman" w:eastAsia="Calibri" w:hAnsi="Times New Roman" w:cs="Times New Roman"/>
          <w:lang w:bidi="en-US"/>
        </w:rPr>
        <w:t xml:space="preserve"> Ознакомится с методикой проведения </w:t>
      </w:r>
      <w:r w:rsidRPr="002F5D3D">
        <w:rPr>
          <w:rFonts w:ascii="Times New Roman" w:eastAsia="Calibri" w:hAnsi="Times New Roman" w:cs="Times New Roman"/>
          <w:sz w:val="24"/>
          <w:szCs w:val="24"/>
        </w:rPr>
        <w:t>профилактических мероприятий: аллергическая</w:t>
      </w:r>
      <w:r w:rsidRPr="002F5D3D">
        <w:rPr>
          <w:rFonts w:ascii="Times New Roman" w:eastAsia="Calibri" w:hAnsi="Times New Roman" w:cs="Times New Roman"/>
          <w:iCs/>
          <w:sz w:val="24"/>
          <w:szCs w:val="24"/>
        </w:rPr>
        <w:t xml:space="preserve"> диагностика туберкулеза у </w:t>
      </w:r>
      <w:r>
        <w:rPr>
          <w:rFonts w:ascii="Times New Roman" w:eastAsia="Calibri" w:hAnsi="Times New Roman" w:cs="Times New Roman"/>
          <w:iCs/>
          <w:sz w:val="24"/>
          <w:szCs w:val="24"/>
        </w:rPr>
        <w:t>свиней</w:t>
      </w:r>
      <w:r w:rsidRPr="002F5D3D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2F5D3D" w:rsidRPr="002F5D3D" w:rsidRDefault="002F5D3D" w:rsidP="002F5D3D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2F5D3D" w:rsidRPr="002F5D3D" w:rsidRDefault="002F5D3D" w:rsidP="002F5D3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D3D">
        <w:rPr>
          <w:rFonts w:ascii="Times New Roman" w:eastAsia="Calibri" w:hAnsi="Times New Roman" w:cs="Times New Roman"/>
          <w:b/>
          <w:sz w:val="24"/>
          <w:szCs w:val="24"/>
        </w:rPr>
        <w:t>Теоретическая часть:</w:t>
      </w:r>
    </w:p>
    <w:p w:rsidR="002F5D3D" w:rsidRPr="002F5D3D" w:rsidRDefault="002F5D3D" w:rsidP="002F5D3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Методы </w:t>
      </w:r>
      <w:proofErr w:type="spellStart"/>
      <w:r w:rsidRPr="002F5D3D">
        <w:rPr>
          <w:rFonts w:ascii="Times New Roman" w:eastAsia="Calibri" w:hAnsi="Times New Roman" w:cs="Times New Roman"/>
          <w:sz w:val="24"/>
          <w:szCs w:val="24"/>
        </w:rPr>
        <w:t>туберкулинизации</w:t>
      </w:r>
      <w:proofErr w:type="spellEnd"/>
      <w:r w:rsidRPr="002F5D3D">
        <w:rPr>
          <w:rFonts w:ascii="Times New Roman" w:eastAsia="Calibri" w:hAnsi="Times New Roman" w:cs="Times New Roman"/>
          <w:sz w:val="24"/>
          <w:szCs w:val="24"/>
        </w:rPr>
        <w:t>. Основной метод прижизненной диагностики туберкулеза у животных - аллергическое исследование туберкулиновой пробой. У лошадей применяют глазной метод исследования (</w:t>
      </w:r>
      <w:proofErr w:type="spellStart"/>
      <w:r w:rsidRPr="002F5D3D">
        <w:rPr>
          <w:rFonts w:ascii="Times New Roman" w:eastAsia="Calibri" w:hAnsi="Times New Roman" w:cs="Times New Roman"/>
          <w:sz w:val="24"/>
          <w:szCs w:val="24"/>
        </w:rPr>
        <w:t>офтальмопробу</w:t>
      </w:r>
      <w:proofErr w:type="spell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). В некоторых случаях у крупного рогатого скота ее ставят одновременно </w:t>
      </w:r>
      <w:proofErr w:type="gramStart"/>
      <w:r w:rsidRPr="002F5D3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внутрикожной.</w:t>
      </w:r>
    </w:p>
    <w:p w:rsidR="002F5D3D" w:rsidRPr="002F5D3D" w:rsidRDefault="002F5D3D" w:rsidP="002F5D3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3D">
        <w:rPr>
          <w:rFonts w:ascii="Times New Roman" w:eastAsia="Calibri" w:hAnsi="Times New Roman" w:cs="Times New Roman"/>
          <w:sz w:val="24"/>
          <w:szCs w:val="24"/>
        </w:rPr>
        <w:t>В качестве дополнительного способа при диагностике туберкулеза у крупного рогатого скота применяют симультанную аллергическую пробу, которую проводят одновременно очищенным туберкулином для млекопитающих и очищенным комплексным аллергеном из атипичных микобактерий (КАМ).</w:t>
      </w:r>
    </w:p>
    <w:p w:rsidR="002F5D3D" w:rsidRPr="002F5D3D" w:rsidRDefault="002F5D3D" w:rsidP="002F5D3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3D">
        <w:rPr>
          <w:rFonts w:ascii="Times New Roman" w:eastAsia="Calibri" w:hAnsi="Times New Roman" w:cs="Times New Roman"/>
          <w:sz w:val="24"/>
          <w:szCs w:val="24"/>
        </w:rPr>
        <w:t>Животных на туберкулез исследуют с 2-месячного возраста; маточное поголовье крупного рогатого скота, буйволов и верблюдов - независимо от периода беременности; овец, коз, свиней, оленей (маралов), лошадей и ослов - не ранее чем через месяц после родов.</w:t>
      </w:r>
    </w:p>
    <w:p w:rsidR="002F5D3D" w:rsidRPr="002F5D3D" w:rsidRDefault="002F5D3D" w:rsidP="002F5D3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Место введения. </w:t>
      </w:r>
      <w:proofErr w:type="gramStart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При внутрикожном методе исследования туберкулин вводят: крупному рогатому скоту, буйволам, зебу, оленям (маралам) в области средней трети шеи; быкам-производителям допускается вводить в кожу </w:t>
      </w:r>
      <w:proofErr w:type="spellStart"/>
      <w:r w:rsidRPr="002F5D3D">
        <w:rPr>
          <w:rFonts w:ascii="Times New Roman" w:eastAsia="Calibri" w:hAnsi="Times New Roman" w:cs="Times New Roman"/>
          <w:sz w:val="24"/>
          <w:szCs w:val="24"/>
        </w:rPr>
        <w:t>подхвостовой</w:t>
      </w:r>
      <w:proofErr w:type="spell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складки, свиньям - в области наружной поверхности ушной раковины на расстоянии 2 см от ее основания (с одной стороны ушной раковины вводят ППД для млекопитающих, с другой - ППД для птиц).</w:t>
      </w:r>
      <w:proofErr w:type="gram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Свиньям в возрасте 2-6 </w:t>
      </w:r>
      <w:proofErr w:type="spellStart"/>
      <w:proofErr w:type="gramStart"/>
      <w:r w:rsidRPr="002F5D3D">
        <w:rPr>
          <w:rFonts w:ascii="Times New Roman" w:eastAsia="Calibri" w:hAnsi="Times New Roman" w:cs="Times New Roman"/>
          <w:sz w:val="24"/>
          <w:szCs w:val="24"/>
        </w:rPr>
        <w:t>мес</w:t>
      </w:r>
      <w:proofErr w:type="spellEnd"/>
      <w:proofErr w:type="gram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туберкулин лучше вводить в кожу поясничной области, отступя в сторону от позвоночника на 5-8 см (с одной стороны вводят туберкулин для млекопитающих, с другой - для птиц), используя для этого </w:t>
      </w:r>
      <w:proofErr w:type="spellStart"/>
      <w:r w:rsidRPr="002F5D3D">
        <w:rPr>
          <w:rFonts w:ascii="Times New Roman" w:eastAsia="Calibri" w:hAnsi="Times New Roman" w:cs="Times New Roman"/>
          <w:sz w:val="24"/>
          <w:szCs w:val="24"/>
        </w:rPr>
        <w:t>безыгольный</w:t>
      </w:r>
      <w:proofErr w:type="spell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D3D">
        <w:rPr>
          <w:rFonts w:ascii="Times New Roman" w:eastAsia="Calibri" w:hAnsi="Times New Roman" w:cs="Times New Roman"/>
          <w:sz w:val="24"/>
          <w:szCs w:val="24"/>
        </w:rPr>
        <w:t>инъектор</w:t>
      </w:r>
      <w:proofErr w:type="spell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марки ИБВ-01. </w:t>
      </w:r>
      <w:proofErr w:type="gramStart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Козам, овцам, собакам, обезьянам, пушным зверям (кроме норок) туберкулин вводят в области внутренней поверхности бедра; норкам - </w:t>
      </w:r>
      <w:proofErr w:type="spellStart"/>
      <w:r w:rsidRPr="002F5D3D">
        <w:rPr>
          <w:rFonts w:ascii="Times New Roman" w:eastAsia="Calibri" w:hAnsi="Times New Roman" w:cs="Times New Roman"/>
          <w:sz w:val="24"/>
          <w:szCs w:val="24"/>
        </w:rPr>
        <w:t>интранальпебрально</w:t>
      </w:r>
      <w:proofErr w:type="spell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в верхнее веко; верблюдам - в кожу брюшной стенки в области паха на уровне седалищного бугра; курам - в бородку; индейкам - в подчелюстную сережку; гусям, </w:t>
      </w:r>
      <w:proofErr w:type="spellStart"/>
      <w:r w:rsidRPr="002F5D3D">
        <w:rPr>
          <w:rFonts w:ascii="Times New Roman" w:eastAsia="Calibri" w:hAnsi="Times New Roman" w:cs="Times New Roman"/>
          <w:sz w:val="24"/>
          <w:szCs w:val="24"/>
        </w:rPr>
        <w:t>ут-кам</w:t>
      </w:r>
      <w:proofErr w:type="spell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- в подчелюстную складку;</w:t>
      </w:r>
      <w:proofErr w:type="gram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F5D3D">
        <w:rPr>
          <w:rFonts w:ascii="Times New Roman" w:eastAsia="Calibri" w:hAnsi="Times New Roman" w:cs="Times New Roman"/>
          <w:sz w:val="24"/>
          <w:szCs w:val="24"/>
        </w:rPr>
        <w:t>фазанам, павлинам, попугаям, голубям, журавлям, цаплям, аистам, фламинго - в области наружной поверхности голени, на 1-2 см выше голеностопного сустава.</w:t>
      </w:r>
      <w:proofErr w:type="gram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Шерсть в месте введения туберкулина выстригают (перья выщипывают), кожу обрабатывают 70 %-</w:t>
      </w:r>
      <w:proofErr w:type="spellStart"/>
      <w:r w:rsidRPr="002F5D3D">
        <w:rPr>
          <w:rFonts w:ascii="Times New Roman" w:eastAsia="Calibri" w:hAnsi="Times New Roman" w:cs="Times New Roman"/>
          <w:sz w:val="24"/>
          <w:szCs w:val="24"/>
        </w:rPr>
        <w:t>ным</w:t>
      </w:r>
      <w:proofErr w:type="spell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спиртом.</w:t>
      </w:r>
    </w:p>
    <w:p w:rsidR="002F5D3D" w:rsidRPr="002F5D3D" w:rsidRDefault="002F5D3D" w:rsidP="002F5D3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spellStart"/>
      <w:r w:rsidRPr="002F5D3D">
        <w:rPr>
          <w:rFonts w:ascii="Times New Roman" w:eastAsia="Calibri" w:hAnsi="Times New Roman" w:cs="Times New Roman"/>
          <w:sz w:val="24"/>
          <w:szCs w:val="24"/>
        </w:rPr>
        <w:t>туберкулинизации</w:t>
      </w:r>
      <w:proofErr w:type="spell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используют специальные иглы для внутрикожных инъекций с двойной трубкой (МРТУ № 46-84-62) или иглы № 0612 и шприцы с бегунком, емкостью 1-2 мл. Для введения туберкулина животным широко применяют </w:t>
      </w:r>
      <w:proofErr w:type="spellStart"/>
      <w:r w:rsidRPr="002F5D3D">
        <w:rPr>
          <w:rFonts w:ascii="Times New Roman" w:eastAsia="Calibri" w:hAnsi="Times New Roman" w:cs="Times New Roman"/>
          <w:sz w:val="24"/>
          <w:szCs w:val="24"/>
        </w:rPr>
        <w:t>безыгольные</w:t>
      </w:r>
      <w:proofErr w:type="spell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D3D">
        <w:rPr>
          <w:rFonts w:ascii="Times New Roman" w:eastAsia="Calibri" w:hAnsi="Times New Roman" w:cs="Times New Roman"/>
          <w:sz w:val="24"/>
          <w:szCs w:val="24"/>
        </w:rPr>
        <w:t>инъекторы</w:t>
      </w:r>
      <w:proofErr w:type="spellEnd"/>
      <w:r w:rsidRPr="002F5D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5D3D" w:rsidRPr="002F5D3D" w:rsidRDefault="002F5D3D" w:rsidP="002F5D3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Туберкулин при внутрикожной </w:t>
      </w:r>
      <w:proofErr w:type="spellStart"/>
      <w:r w:rsidRPr="002F5D3D">
        <w:rPr>
          <w:rFonts w:ascii="Times New Roman" w:eastAsia="Calibri" w:hAnsi="Times New Roman" w:cs="Times New Roman"/>
          <w:sz w:val="24"/>
          <w:szCs w:val="24"/>
        </w:rPr>
        <w:t>туберкулинизации</w:t>
      </w:r>
      <w:proofErr w:type="spell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вводят однократно в объеме 0,2 мл всем млекопитающим животным, кроме обезьян и норок, а также птиц (им в дозе 0,1 мл).</w:t>
      </w:r>
      <w:proofErr w:type="gramEnd"/>
    </w:p>
    <w:p w:rsidR="002F5D3D" w:rsidRPr="002F5D3D" w:rsidRDefault="002F5D3D" w:rsidP="002F5D3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3D">
        <w:rPr>
          <w:rFonts w:ascii="Times New Roman" w:eastAsia="Calibri" w:hAnsi="Times New Roman" w:cs="Times New Roman"/>
          <w:sz w:val="24"/>
          <w:szCs w:val="24"/>
        </w:rPr>
        <w:lastRenderedPageBreak/>
        <w:t>Учет и оценка реакции. У крупного рогатого скота, буйволов, зебу, верблюдов и оленей их проводят через 72 ч после введения препарата; у коз, овец, свиней, собак, обезьян, пушных зверей - через 48; у птиц - через 30-36 ч. Местная реакция на введение туберкулина может быть оценена как положительная или отрицательная.</w:t>
      </w:r>
    </w:p>
    <w:p w:rsidR="002F5D3D" w:rsidRPr="002F5D3D" w:rsidRDefault="002F5D3D" w:rsidP="002F5D3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D3D" w:rsidRPr="002F5D3D" w:rsidRDefault="002F5D3D" w:rsidP="002F5D3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Реакция признается положительной, если в месте инъекции туберкулина образуется разлитая (без четких границ с окружающей тканью), </w:t>
      </w:r>
      <w:proofErr w:type="spellStart"/>
      <w:r w:rsidRPr="002F5D3D">
        <w:rPr>
          <w:rFonts w:ascii="Times New Roman" w:eastAsia="Calibri" w:hAnsi="Times New Roman" w:cs="Times New Roman"/>
          <w:sz w:val="24"/>
          <w:szCs w:val="24"/>
        </w:rPr>
        <w:t>тестоватой</w:t>
      </w:r>
      <w:proofErr w:type="spell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консистенции, болезненная воспалительная припухлость, сопровождающаяся гиперемией и повышением местной температуры. У некоторых животных реакция проявляется в виде плотной, безболезненной, отчетливо </w:t>
      </w:r>
      <w:proofErr w:type="spellStart"/>
      <w:r w:rsidRPr="002F5D3D">
        <w:rPr>
          <w:rFonts w:ascii="Times New Roman" w:eastAsia="Calibri" w:hAnsi="Times New Roman" w:cs="Times New Roman"/>
          <w:sz w:val="24"/>
          <w:szCs w:val="24"/>
        </w:rPr>
        <w:t>контурированной</w:t>
      </w:r>
      <w:proofErr w:type="spell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припухлости.</w:t>
      </w:r>
    </w:p>
    <w:p w:rsidR="002F5D3D" w:rsidRPr="002F5D3D" w:rsidRDefault="002F5D3D" w:rsidP="002F5D3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3D">
        <w:rPr>
          <w:rFonts w:ascii="Times New Roman" w:eastAsia="Calibri" w:hAnsi="Times New Roman" w:cs="Times New Roman"/>
          <w:sz w:val="24"/>
          <w:szCs w:val="24"/>
        </w:rPr>
        <w:t>Крупный рогатый скот, буйволов, зебу, верблюдов и оленей считают реагирующими на туберкулин при наличии вышеуказанных изменений на месте инъекции туберкулина и утолщения кожной складки на 3 мм и более по сравнению с толщиной складки неизмененной кожи вблизи места введения туберкулина.</w:t>
      </w:r>
    </w:p>
    <w:p w:rsidR="002F5D3D" w:rsidRPr="002F5D3D" w:rsidRDefault="002F5D3D" w:rsidP="002F5D3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Быков-производителей, туберкулинизированных в </w:t>
      </w:r>
      <w:proofErr w:type="spellStart"/>
      <w:r w:rsidRPr="002F5D3D">
        <w:rPr>
          <w:rFonts w:ascii="Times New Roman" w:eastAsia="Calibri" w:hAnsi="Times New Roman" w:cs="Times New Roman"/>
          <w:sz w:val="24"/>
          <w:szCs w:val="24"/>
        </w:rPr>
        <w:t>подхвостовую</w:t>
      </w:r>
      <w:proofErr w:type="spell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складку, считают реагирующими при образовании в месте введения туберкулина воспалительной припухлости и утолщении кожной складки на 2 мм и более.</w:t>
      </w:r>
    </w:p>
    <w:p w:rsidR="002F5D3D" w:rsidRPr="002F5D3D" w:rsidRDefault="002F5D3D" w:rsidP="002F5D3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3D">
        <w:rPr>
          <w:rFonts w:ascii="Times New Roman" w:eastAsia="Calibri" w:hAnsi="Times New Roman" w:cs="Times New Roman"/>
          <w:sz w:val="24"/>
          <w:szCs w:val="24"/>
        </w:rPr>
        <w:t>У коз, овец, свиней, собак, обезьян, пушных зверей и птиц реакцию считают положительной при образовании припухлости в месте введения туберкулина, а у норок - при опухании века.</w:t>
      </w:r>
    </w:p>
    <w:p w:rsidR="002F5D3D" w:rsidRPr="002F5D3D" w:rsidRDefault="002F5D3D" w:rsidP="002F5D3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Внутрикожная туберкулиновая проба - </w:t>
      </w:r>
      <w:proofErr w:type="spellStart"/>
      <w:r w:rsidRPr="002F5D3D">
        <w:rPr>
          <w:rFonts w:ascii="Times New Roman" w:eastAsia="Calibri" w:hAnsi="Times New Roman" w:cs="Times New Roman"/>
          <w:sz w:val="24"/>
          <w:szCs w:val="24"/>
        </w:rPr>
        <w:t>высокоспецифическая</w:t>
      </w:r>
      <w:proofErr w:type="spell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реакция на туберкулез. Однако она зависит от общей иммунореактивности организма и чувствительности животных к туберкулину. У животных низкой упитанности, старых, </w:t>
      </w:r>
      <w:proofErr w:type="spellStart"/>
      <w:r w:rsidRPr="002F5D3D">
        <w:rPr>
          <w:rFonts w:ascii="Times New Roman" w:eastAsia="Calibri" w:hAnsi="Times New Roman" w:cs="Times New Roman"/>
          <w:sz w:val="24"/>
          <w:szCs w:val="24"/>
        </w:rPr>
        <w:t>глубокостельных</w:t>
      </w:r>
      <w:proofErr w:type="spell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, а также при </w:t>
      </w:r>
      <w:proofErr w:type="spellStart"/>
      <w:r w:rsidRPr="002F5D3D">
        <w:rPr>
          <w:rFonts w:ascii="Times New Roman" w:eastAsia="Calibri" w:hAnsi="Times New Roman" w:cs="Times New Roman"/>
          <w:sz w:val="24"/>
          <w:szCs w:val="24"/>
        </w:rPr>
        <w:t>генерализованном</w:t>
      </w:r>
      <w:proofErr w:type="spell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туберкулезном процессе реакция на туберкулин может быть слабо выражена или не проявиться (анергия)</w:t>
      </w:r>
      <w:proofErr w:type="gramStart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Следует также учитывать, что иногда возможны неспецифические (</w:t>
      </w:r>
      <w:proofErr w:type="spellStart"/>
      <w:r w:rsidRPr="002F5D3D">
        <w:rPr>
          <w:rFonts w:ascii="Times New Roman" w:eastAsia="Calibri" w:hAnsi="Times New Roman" w:cs="Times New Roman"/>
          <w:sz w:val="24"/>
          <w:szCs w:val="24"/>
        </w:rPr>
        <w:t>парааллергические</w:t>
      </w:r>
      <w:proofErr w:type="spell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) реакции на туберкулин для млекопитающих, обусловленные сенсибилизацией организма микобактериями птичьего вида, возбудителям </w:t>
      </w:r>
      <w:proofErr w:type="spellStart"/>
      <w:r w:rsidRPr="002F5D3D">
        <w:rPr>
          <w:rFonts w:ascii="Times New Roman" w:eastAsia="Calibri" w:hAnsi="Times New Roman" w:cs="Times New Roman"/>
          <w:sz w:val="24"/>
          <w:szCs w:val="24"/>
        </w:rPr>
        <w:t>паратуберкулеза</w:t>
      </w:r>
      <w:proofErr w:type="spell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и атипичными микобактериями, а также другими причинами. Однако неспецифические реакции неустойчивы и через несколько месяцев выпадают.</w:t>
      </w:r>
    </w:p>
    <w:p w:rsidR="002F5D3D" w:rsidRPr="002F5D3D" w:rsidRDefault="002F5D3D" w:rsidP="002F5D3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Дифференциацию специфических реакций от неспецифических в необходимых случаях проводят симультанной пробой </w:t>
      </w:r>
      <w:proofErr w:type="gramStart"/>
      <w:r w:rsidRPr="002F5D3D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птичьим туберкулином или комплексным аллергеном из атипичных </w:t>
      </w:r>
      <w:proofErr w:type="spellStart"/>
      <w:r w:rsidRPr="002F5D3D">
        <w:rPr>
          <w:rFonts w:ascii="Times New Roman" w:eastAsia="Calibri" w:hAnsi="Times New Roman" w:cs="Times New Roman"/>
          <w:sz w:val="24"/>
          <w:szCs w:val="24"/>
        </w:rPr>
        <w:t>мико</w:t>
      </w:r>
      <w:proofErr w:type="spellEnd"/>
      <w:r w:rsidRPr="002F5D3D">
        <w:rPr>
          <w:rFonts w:ascii="Times New Roman" w:eastAsia="Calibri" w:hAnsi="Times New Roman" w:cs="Times New Roman"/>
          <w:sz w:val="24"/>
          <w:szCs w:val="24"/>
        </w:rPr>
        <w:t>-бактерий (КАМ) и лабораторными исследованиями.</w:t>
      </w:r>
    </w:p>
    <w:p w:rsidR="002F5D3D" w:rsidRPr="002F5D3D" w:rsidRDefault="002F5D3D" w:rsidP="002F5D3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5D3D">
        <w:rPr>
          <w:rFonts w:ascii="Times New Roman" w:eastAsia="Calibri" w:hAnsi="Times New Roman" w:cs="Times New Roman"/>
          <w:sz w:val="24"/>
          <w:szCs w:val="24"/>
        </w:rPr>
        <w:t>Туберкулинизацию</w:t>
      </w:r>
      <w:proofErr w:type="spellEnd"/>
      <w:r w:rsidRPr="002F5D3D">
        <w:rPr>
          <w:rFonts w:ascii="Times New Roman" w:eastAsia="Calibri" w:hAnsi="Times New Roman" w:cs="Times New Roman"/>
          <w:sz w:val="24"/>
          <w:szCs w:val="24"/>
        </w:rPr>
        <w:t xml:space="preserve"> глазным методом проводят двукратно с интервалом в 5-6 дней. Туберкулин (3-5 капель) наносят глазной пипеткой на конъюнктиву нижнего века или на роговицу глаза (при оттянутом нижнем веке). Реакцию учитывают после первого введения через 6, 9, 12 и 24 ч, после второго - через 3, 6, 9 и 12 ч.</w:t>
      </w:r>
    </w:p>
    <w:p w:rsidR="002F5D3D" w:rsidRPr="002F5D3D" w:rsidRDefault="002F5D3D" w:rsidP="002F5D3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3D">
        <w:rPr>
          <w:rFonts w:ascii="Times New Roman" w:eastAsia="Calibri" w:hAnsi="Times New Roman" w:cs="Times New Roman"/>
          <w:sz w:val="24"/>
          <w:szCs w:val="24"/>
        </w:rPr>
        <w:t>Она признается положительной, если из внутреннего угла глаза возникает выделение слизисто-гнойного или гнойного секрета, сопровождающееся гиперемией и отеком конъюнктивы.</w:t>
      </w:r>
    </w:p>
    <w:p w:rsidR="002F5D3D" w:rsidRPr="002F5D3D" w:rsidRDefault="002F5D3D" w:rsidP="002F5D3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3D">
        <w:rPr>
          <w:rFonts w:ascii="Times New Roman" w:eastAsia="Calibri" w:hAnsi="Times New Roman" w:cs="Times New Roman"/>
          <w:sz w:val="24"/>
          <w:szCs w:val="24"/>
        </w:rPr>
        <w:t>Аллергическое исследование на туберкулез животных разрешается проводить только ветеринарным специалистам, прошедшим специальный курс обучения, владеющим техникой введения диагностических препаратов и опытом оценки аллергических реакций.</w:t>
      </w:r>
    </w:p>
    <w:p w:rsidR="002F5D3D" w:rsidRPr="002F5D3D" w:rsidRDefault="002F5D3D" w:rsidP="002F5D3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3D">
        <w:rPr>
          <w:rFonts w:ascii="Times New Roman" w:eastAsia="Calibri" w:hAnsi="Times New Roman" w:cs="Times New Roman"/>
          <w:sz w:val="24"/>
          <w:szCs w:val="24"/>
        </w:rPr>
        <w:lastRenderedPageBreak/>
        <w:t>Диагноз на туберкулез считают установленным: при выделении культуры возбудителя туберкулеза или при получении положительного результата биологической пробы. У крупного рогатого скота, помимо этого, диагноз считают установленным при обнаружении в органах или тканях животных патологических изменений, типичных для туберкулеза.</w:t>
      </w:r>
    </w:p>
    <w:p w:rsidR="002F5D3D" w:rsidRPr="002F5D3D" w:rsidRDefault="002F5D3D" w:rsidP="002F5D3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3D">
        <w:rPr>
          <w:rFonts w:ascii="Times New Roman" w:eastAsia="Calibri" w:hAnsi="Times New Roman" w:cs="Times New Roman"/>
          <w:sz w:val="24"/>
          <w:szCs w:val="24"/>
        </w:rPr>
        <w:t>При получении положительных результатов аллергических исследований на туберкулез диагностику болезни осуществляют путем убоя 3-5 животных с наиболее выраженными реакциями на туберкулин и осмотра внутренних органов, костей и лимфоузлов. При отсутствии типичных изменений на туберкулез отбирают кусочки органов и лимфоузлы, которые направляют в ветеринарную лабораторию на бактериологическое исследование.</w:t>
      </w:r>
    </w:p>
    <w:p w:rsidR="002F5D3D" w:rsidRPr="002F5D3D" w:rsidRDefault="002F5D3D" w:rsidP="002F5D3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3D">
        <w:rPr>
          <w:rFonts w:ascii="Times New Roman" w:eastAsia="Calibri" w:hAnsi="Times New Roman" w:cs="Times New Roman"/>
          <w:sz w:val="24"/>
          <w:szCs w:val="24"/>
        </w:rPr>
        <w:t>Все поголовье стада, в том числе ранее реагирующих животных, проверяют симультанной пробой туберкулином для млекопитающих и аллергеном КАМ. В стадах, на фермах, в населенных пунктах, где болезнь уже установлена, животных, реагирующих на туберкулин, признают больными туберкулезом.</w:t>
      </w:r>
    </w:p>
    <w:p w:rsidR="00EF4860" w:rsidRDefault="00EF4860"/>
    <w:sectPr w:rsidR="00EF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3D"/>
    <w:rsid w:val="002F5D3D"/>
    <w:rsid w:val="00E2279A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2023-04-05T09:02:00Z</dcterms:created>
  <dcterms:modified xsi:type="dcterms:W3CDTF">2023-04-05T09:03:00Z</dcterms:modified>
</cp:coreProperties>
</file>